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20755D">
      <w:pPr>
        <w:spacing w:line="359" w:lineRule="auto"/>
        <w:rPr>
          <w:rFonts w:ascii="Arial"/>
          <w:sz w:val="21"/>
        </w:rPr>
      </w:pPr>
    </w:p>
    <w:p w14:paraId="061D5DDC">
      <w:pPr>
        <w:spacing w:before="101" w:line="224" w:lineRule="auto"/>
        <w:ind w:left="4"/>
        <w:rPr>
          <w:rFonts w:ascii="黑体" w:hAnsi="黑体" w:eastAsia="黑体" w:cs="黑体"/>
          <w:b/>
          <w:bCs/>
          <w:spacing w:val="-17"/>
          <w:sz w:val="31"/>
          <w:szCs w:val="31"/>
        </w:rPr>
      </w:pPr>
    </w:p>
    <w:p w14:paraId="20F80B82">
      <w:pPr>
        <w:spacing w:before="101" w:line="224" w:lineRule="auto"/>
        <w:ind w:left="4"/>
        <w:rPr>
          <w:rFonts w:hint="eastAsia" w:ascii="黑体" w:hAnsi="黑体" w:eastAsia="黑体" w:cs="黑体"/>
          <w:sz w:val="31"/>
          <w:szCs w:val="31"/>
          <w:lang w:eastAsia="zh-CN"/>
        </w:rPr>
      </w:pPr>
      <w:r>
        <w:rPr>
          <w:rFonts w:ascii="黑体" w:hAnsi="黑体" w:eastAsia="黑体" w:cs="黑体"/>
          <w:b/>
          <w:bCs/>
          <w:spacing w:val="-17"/>
          <w:sz w:val="31"/>
          <w:szCs w:val="31"/>
        </w:rPr>
        <w:t>附</w:t>
      </w:r>
      <w:r>
        <w:rPr>
          <w:rFonts w:ascii="黑体" w:hAnsi="黑体" w:eastAsia="黑体" w:cs="黑体"/>
          <w:spacing w:val="-70"/>
          <w:sz w:val="31"/>
          <w:szCs w:val="31"/>
        </w:rPr>
        <w:t xml:space="preserve"> </w:t>
      </w:r>
      <w:r>
        <w:rPr>
          <w:rFonts w:ascii="黑体" w:hAnsi="黑体" w:eastAsia="黑体" w:cs="黑体"/>
          <w:b/>
          <w:bCs/>
          <w:spacing w:val="-17"/>
          <w:sz w:val="31"/>
          <w:szCs w:val="31"/>
        </w:rPr>
        <w:t>件</w:t>
      </w:r>
      <w:r>
        <w:rPr>
          <w:rFonts w:ascii="黑体" w:hAnsi="黑体" w:eastAsia="黑体" w:cs="黑体"/>
          <w:spacing w:val="-53"/>
          <w:sz w:val="31"/>
          <w:szCs w:val="31"/>
        </w:rPr>
        <w:t xml:space="preserve"> </w:t>
      </w:r>
      <w:r>
        <w:rPr>
          <w:rFonts w:ascii="黑体" w:hAnsi="黑体" w:eastAsia="黑体" w:cs="黑体"/>
          <w:b/>
          <w:bCs/>
          <w:spacing w:val="-17"/>
          <w:sz w:val="31"/>
          <w:szCs w:val="31"/>
        </w:rPr>
        <w:t>1</w:t>
      </w:r>
      <w:r>
        <w:rPr>
          <w:rFonts w:hint="eastAsia" w:ascii="黑体" w:hAnsi="黑体" w:eastAsia="黑体" w:cs="黑体"/>
          <w:sz w:val="31"/>
          <w:szCs w:val="31"/>
          <w:lang w:eastAsia="zh-CN"/>
        </w:rPr>
        <w:t>：</w:t>
      </w:r>
    </w:p>
    <w:p w14:paraId="72CBED0F">
      <w:pPr>
        <w:spacing w:before="101" w:line="224" w:lineRule="auto"/>
        <w:ind w:left="4"/>
        <w:rPr>
          <w:rFonts w:hint="eastAsia" w:ascii="黑体" w:hAnsi="黑体" w:eastAsia="黑体" w:cs="黑体"/>
          <w:sz w:val="31"/>
          <w:szCs w:val="31"/>
          <w:lang w:eastAsia="zh-CN"/>
        </w:rPr>
      </w:pPr>
      <w:bookmarkStart w:id="0" w:name="_GoBack"/>
      <w:bookmarkEnd w:id="0"/>
    </w:p>
    <w:p w14:paraId="1446AC3D">
      <w:pPr>
        <w:spacing w:line="317" w:lineRule="auto"/>
        <w:rPr>
          <w:rFonts w:ascii="Arial"/>
          <w:sz w:val="21"/>
        </w:rPr>
      </w:pPr>
    </w:p>
    <w:p w14:paraId="32980F46">
      <w:pPr>
        <w:pStyle w:val="2"/>
        <w:spacing w:before="137" w:line="220" w:lineRule="auto"/>
        <w:ind w:left="2676"/>
        <w:rPr>
          <w:sz w:val="42"/>
          <w:szCs w:val="42"/>
        </w:rPr>
      </w:pPr>
      <w:r>
        <w:rPr>
          <w:b/>
          <w:bCs/>
          <w:spacing w:val="33"/>
          <w:sz w:val="42"/>
          <w:szCs w:val="42"/>
        </w:rPr>
        <w:t>居家消防安全“十不”</w:t>
      </w:r>
    </w:p>
    <w:p w14:paraId="782DF88D">
      <w:pPr>
        <w:spacing w:line="324" w:lineRule="auto"/>
        <w:rPr>
          <w:rFonts w:ascii="Arial"/>
          <w:sz w:val="21"/>
        </w:rPr>
      </w:pPr>
    </w:p>
    <w:p w14:paraId="07CE1A79">
      <w:pPr>
        <w:spacing w:line="325" w:lineRule="auto"/>
        <w:rPr>
          <w:rFonts w:ascii="Arial"/>
          <w:sz w:val="21"/>
        </w:rPr>
      </w:pPr>
    </w:p>
    <w:p w14:paraId="242CDC9C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after="0" w:line="360" w:lineRule="auto"/>
        <w:ind w:left="0" w:right="0" w:firstLine="632" w:firstLineChars="200"/>
        <w:textAlignment w:val="baseline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3"/>
          <w:sz w:val="31"/>
          <w:szCs w:val="31"/>
        </w:rPr>
        <w:t>一</w:t>
      </w:r>
      <w:r>
        <w:rPr>
          <w:rFonts w:ascii="仿宋" w:hAnsi="仿宋" w:eastAsia="仿宋" w:cs="仿宋"/>
          <w:spacing w:val="-7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、不在楼梯间、楼道、门厅等公共区域和家里停放电动自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行车或为其充电，不将电动自行车电池拿回家充电，不使用“飞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线”为电动自行车充电。</w:t>
      </w:r>
    </w:p>
    <w:p w14:paraId="424CB507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after="0" w:line="360" w:lineRule="auto"/>
        <w:ind w:left="0" w:right="0" w:firstLine="644" w:firstLineChars="200"/>
        <w:textAlignment w:val="baseline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6"/>
          <w:sz w:val="31"/>
          <w:szCs w:val="31"/>
        </w:rPr>
        <w:t>二</w:t>
      </w:r>
      <w:r>
        <w:rPr>
          <w:rFonts w:ascii="仿宋" w:hAnsi="仿宋" w:eastAsia="仿宋" w:cs="仿宋"/>
          <w:spacing w:val="-4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、不在同一个插座上同时连接使用多个大功率电器。</w:t>
      </w:r>
    </w:p>
    <w:p w14:paraId="0ABA0004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after="0" w:line="360" w:lineRule="auto"/>
        <w:ind w:left="0" w:right="0" w:firstLine="636" w:firstLineChars="200"/>
        <w:textAlignment w:val="baseline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4"/>
          <w:sz w:val="31"/>
          <w:szCs w:val="31"/>
        </w:rPr>
        <w:t>三</w:t>
      </w:r>
      <w:r>
        <w:rPr>
          <w:rFonts w:ascii="仿宋" w:hAnsi="仿宋" w:eastAsia="仿宋" w:cs="仿宋"/>
          <w:spacing w:val="-5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、不长时间持续为手机等电子产品充电。</w:t>
      </w:r>
    </w:p>
    <w:p w14:paraId="0CC6CD59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after="0" w:line="360" w:lineRule="auto"/>
        <w:ind w:left="0" w:right="0" w:firstLine="640" w:firstLineChars="200"/>
        <w:textAlignment w:val="baseline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5"/>
          <w:sz w:val="31"/>
          <w:szCs w:val="31"/>
        </w:rPr>
        <w:t>四</w:t>
      </w:r>
      <w:r>
        <w:rPr>
          <w:rFonts w:ascii="仿宋" w:hAnsi="仿宋" w:eastAsia="仿宋" w:cs="仿宋"/>
          <w:spacing w:val="-4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、不使用具有老化、破损现象的电气线路和燃气</w:t>
      </w:r>
      <w:r>
        <w:rPr>
          <w:rFonts w:ascii="仿宋" w:hAnsi="仿宋" w:eastAsia="仿宋" w:cs="仿宋"/>
          <w:spacing w:val="4"/>
          <w:sz w:val="31"/>
          <w:szCs w:val="31"/>
        </w:rPr>
        <w:t>管线。</w:t>
      </w:r>
    </w:p>
    <w:p w14:paraId="622A8DB0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after="0" w:line="360" w:lineRule="auto"/>
        <w:ind w:left="0" w:right="0" w:firstLine="636" w:firstLineChars="200"/>
        <w:textAlignment w:val="baseline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4"/>
          <w:sz w:val="31"/>
          <w:szCs w:val="31"/>
        </w:rPr>
        <w:t>五</w:t>
      </w:r>
      <w:r>
        <w:rPr>
          <w:rFonts w:ascii="仿宋" w:hAnsi="仿宋" w:eastAsia="仿宋" w:cs="仿宋"/>
          <w:spacing w:val="-5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、不在易燃可燃物周边点燃和放置蚊香。</w:t>
      </w:r>
    </w:p>
    <w:p w14:paraId="31AD57A5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after="0" w:line="360" w:lineRule="auto"/>
        <w:ind w:left="0" w:right="0" w:firstLine="628" w:firstLineChars="200"/>
        <w:textAlignment w:val="baseline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2"/>
          <w:sz w:val="31"/>
          <w:szCs w:val="31"/>
        </w:rPr>
        <w:t>六</w:t>
      </w:r>
      <w:r>
        <w:rPr>
          <w:rFonts w:ascii="仿宋" w:hAnsi="仿宋" w:eastAsia="仿宋" w:cs="仿宋"/>
          <w:spacing w:val="-6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、不卧床抽烟、乱丢烟头。</w:t>
      </w:r>
    </w:p>
    <w:p w14:paraId="4EC62D4A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after="0" w:line="360" w:lineRule="auto"/>
        <w:ind w:left="0" w:right="0" w:firstLine="620" w:firstLineChars="200"/>
        <w:textAlignment w:val="baseline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z w:val="31"/>
          <w:szCs w:val="31"/>
        </w:rPr>
        <w:t>七、不在厨房、阳台、走道、楼梯间、管道井等处存放纸箱、</w:t>
      </w:r>
      <w:r>
        <w:rPr>
          <w:rFonts w:ascii="仿宋" w:hAnsi="仿宋" w:eastAsia="仿宋" w:cs="仿宋"/>
          <w:spacing w:val="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塑料制品、旧家具等易燃可燃杂物。</w:t>
      </w:r>
    </w:p>
    <w:p w14:paraId="49E6754B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after="0" w:line="360" w:lineRule="auto"/>
        <w:ind w:left="0" w:right="0" w:firstLine="648" w:firstLineChars="200"/>
        <w:textAlignment w:val="baseline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7"/>
          <w:sz w:val="31"/>
          <w:szCs w:val="31"/>
        </w:rPr>
        <w:t>八</w:t>
      </w:r>
      <w:r>
        <w:rPr>
          <w:rFonts w:ascii="仿宋" w:hAnsi="仿宋" w:eastAsia="仿宋" w:cs="仿宋"/>
          <w:spacing w:val="-4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、不在外窗设置无法由内向外开启逃生装置的防盗窗。</w:t>
      </w:r>
    </w:p>
    <w:p w14:paraId="17E00FB1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after="0" w:line="360" w:lineRule="auto"/>
        <w:ind w:left="0" w:right="0" w:firstLine="636" w:firstLineChars="200"/>
        <w:textAlignment w:val="baseline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4"/>
          <w:sz w:val="31"/>
          <w:szCs w:val="31"/>
        </w:rPr>
        <w:t>九</w:t>
      </w:r>
      <w:r>
        <w:rPr>
          <w:rFonts w:ascii="仿宋" w:hAnsi="仿宋" w:eastAsia="仿宋" w:cs="仿宋"/>
          <w:spacing w:val="-6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、不在消防车道上停放私家车。</w:t>
      </w:r>
    </w:p>
    <w:p w14:paraId="2E612157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after="0" w:line="360" w:lineRule="auto"/>
        <w:ind w:left="0" w:right="0" w:firstLine="632" w:firstLineChars="200"/>
        <w:textAlignment w:val="baseline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3"/>
          <w:sz w:val="31"/>
          <w:szCs w:val="31"/>
        </w:rPr>
        <w:t>十</w:t>
      </w:r>
      <w:r>
        <w:rPr>
          <w:rFonts w:ascii="仿宋" w:hAnsi="仿宋" w:eastAsia="仿宋" w:cs="仿宋"/>
          <w:spacing w:val="-6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、不挪用、损坏消防设施器材。</w:t>
      </w:r>
    </w:p>
    <w:p w14:paraId="2F28438D">
      <w:pPr>
        <w:spacing w:line="222" w:lineRule="auto"/>
        <w:rPr>
          <w:rFonts w:ascii="仿宋" w:hAnsi="仿宋" w:eastAsia="仿宋" w:cs="仿宋"/>
          <w:sz w:val="31"/>
          <w:szCs w:val="31"/>
        </w:rPr>
      </w:pPr>
    </w:p>
    <w:p w14:paraId="05A5DEF2">
      <w:pPr>
        <w:bidi w:val="0"/>
        <w:rPr>
          <w:rFonts w:ascii="Arial" w:hAnsi="Arial" w:eastAsia="Arial" w:cs="Arial"/>
          <w:snapToGrid w:val="0"/>
          <w:color w:val="000000"/>
          <w:kern w:val="0"/>
          <w:sz w:val="21"/>
          <w:szCs w:val="21"/>
          <w:lang w:val="en-US" w:eastAsia="en-US" w:bidi="ar-SA"/>
        </w:rPr>
      </w:pPr>
    </w:p>
    <w:p w14:paraId="12E329F2">
      <w:pPr>
        <w:spacing w:line="240" w:lineRule="auto"/>
        <w:jc w:val="right"/>
        <w:rPr>
          <w:rFonts w:hint="default" w:ascii="仿宋" w:hAnsi="仿宋" w:eastAsia="仿宋" w:cs="仿宋"/>
          <w:sz w:val="24"/>
          <w:szCs w:val="24"/>
          <w:lang w:val="en-US" w:eastAsia="zh-CN"/>
        </w:rPr>
      </w:pPr>
    </w:p>
    <w:sectPr>
      <w:headerReference r:id="rId5" w:type="default"/>
      <w:footerReference r:id="rId6" w:type="default"/>
      <w:pgSz w:w="11900" w:h="16820"/>
      <w:pgMar w:top="400" w:right="1553" w:bottom="400" w:left="1470" w:header="0" w:footer="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